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E60" w:rsidRPr="00586E60" w:rsidRDefault="00E93A2D" w:rsidP="00E93A2D">
      <w:pPr>
        <w:spacing w:after="0" w:line="240" w:lineRule="auto"/>
        <w:ind w:right="-284"/>
        <w:jc w:val="right"/>
        <w:textAlignment w:val="baseline"/>
        <w:rPr>
          <w:rFonts w:ascii="Arial" w:eastAsia="Times New Roman" w:hAnsi="Arial" w:cs="Arial"/>
          <w:color w:val="1B69BF"/>
          <w:sz w:val="19"/>
          <w:szCs w:val="19"/>
          <w:lang w:eastAsia="cs-CZ"/>
        </w:rPr>
      </w:pPr>
      <w:r>
        <w:rPr>
          <w:rFonts w:ascii="Arial" w:eastAsia="Times New Roman" w:hAnsi="Arial" w:cs="Arial"/>
          <w:color w:val="1B69BF"/>
          <w:sz w:val="19"/>
          <w:szCs w:val="19"/>
          <w:lang w:eastAsia="cs-CZ"/>
        </w:rPr>
        <w:t> </w:t>
      </w:r>
      <w:r w:rsidR="00586E60" w:rsidRPr="00586E60">
        <w:rPr>
          <w:rFonts w:ascii="Arial" w:eastAsia="Times New Roman" w:hAnsi="Arial" w:cs="Arial"/>
          <w:color w:val="1B69BF"/>
          <w:sz w:val="19"/>
          <w:szCs w:val="19"/>
          <w:lang w:eastAsia="cs-CZ"/>
        </w:rPr>
        <w:t> </w:t>
      </w:r>
    </w:p>
    <w:p w:rsidR="00586E60" w:rsidRPr="00586E60" w:rsidRDefault="00586E60" w:rsidP="00586E60">
      <w:pPr>
        <w:spacing w:after="0" w:line="240" w:lineRule="auto"/>
        <w:jc w:val="right"/>
        <w:textAlignment w:val="baseline"/>
        <w:rPr>
          <w:rFonts w:ascii="Arial" w:eastAsia="Times New Roman" w:hAnsi="Arial" w:cs="Arial"/>
          <w:color w:val="05171F"/>
          <w:sz w:val="28"/>
          <w:szCs w:val="28"/>
          <w:lang w:eastAsia="cs-CZ"/>
        </w:rPr>
      </w:pPr>
      <w:r w:rsidRPr="00586E60">
        <w:rPr>
          <w:rFonts w:ascii="Arial" w:eastAsia="Times New Roman" w:hAnsi="Arial" w:cs="Arial"/>
          <w:color w:val="05171F"/>
          <w:sz w:val="28"/>
          <w:szCs w:val="28"/>
          <w:lang w:eastAsia="cs-CZ"/>
        </w:rPr>
        <w:t> </w:t>
      </w:r>
    </w:p>
    <w:p w:rsidR="00586E60" w:rsidRPr="00E93A2D" w:rsidRDefault="00E93A2D" w:rsidP="00E93A2D">
      <w:pPr>
        <w:tabs>
          <w:tab w:val="left" w:pos="9072"/>
        </w:tabs>
        <w:spacing w:after="388" w:line="906" w:lineRule="atLeast"/>
        <w:ind w:left="142" w:right="1359"/>
        <w:textAlignment w:val="baseline"/>
        <w:outlineLvl w:val="0"/>
        <w:rPr>
          <w:rFonts w:ascii="Arial" w:eastAsia="Times New Roman" w:hAnsi="Arial" w:cs="Arial"/>
          <w:b/>
          <w:bCs/>
          <w:color w:val="05171F"/>
          <w:kern w:val="36"/>
          <w:sz w:val="40"/>
          <w:szCs w:val="40"/>
          <w:lang w:eastAsia="cs-CZ"/>
        </w:rPr>
      </w:pPr>
      <w:r>
        <w:rPr>
          <w:rFonts w:ascii="Arial" w:eastAsia="Times New Roman" w:hAnsi="Arial" w:cs="Arial"/>
          <w:b/>
          <w:bCs/>
          <w:color w:val="05171F"/>
          <w:kern w:val="36"/>
          <w:sz w:val="40"/>
          <w:szCs w:val="40"/>
          <w:lang w:eastAsia="cs-CZ"/>
        </w:rPr>
        <w:t xml:space="preserve">Další meta pokořena. Česku se podle </w:t>
      </w:r>
      <w:r w:rsidR="00586E60" w:rsidRPr="00E93A2D">
        <w:rPr>
          <w:rFonts w:ascii="Arial" w:eastAsia="Times New Roman" w:hAnsi="Arial" w:cs="Arial"/>
          <w:b/>
          <w:bCs/>
          <w:color w:val="05171F"/>
          <w:kern w:val="36"/>
          <w:sz w:val="40"/>
          <w:szCs w:val="40"/>
          <w:lang w:eastAsia="cs-CZ"/>
        </w:rPr>
        <w:t>OECD poprvé povedlo porazit v bohatství Španělsko</w:t>
      </w:r>
    </w:p>
    <w:p w:rsidR="00586E60" w:rsidRPr="00586E60" w:rsidRDefault="00586E60" w:rsidP="00586E60">
      <w:pPr>
        <w:spacing w:after="0" w:line="356" w:lineRule="atLeast"/>
        <w:textAlignment w:val="baseline"/>
        <w:rPr>
          <w:rFonts w:ascii="Arial" w:eastAsia="Times New Roman" w:hAnsi="Arial" w:cs="Arial"/>
          <w:color w:val="05171F"/>
          <w:sz w:val="23"/>
          <w:szCs w:val="23"/>
          <w:lang w:eastAsia="cs-CZ"/>
        </w:rPr>
      </w:pPr>
      <w:r>
        <w:rPr>
          <w:rFonts w:ascii="Arial" w:eastAsia="Times New Roman" w:hAnsi="Arial" w:cs="Arial"/>
          <w:noProof/>
          <w:color w:val="1B69BF"/>
          <w:sz w:val="23"/>
          <w:szCs w:val="23"/>
          <w:bdr w:val="none" w:sz="0" w:space="0" w:color="auto" w:frame="1"/>
          <w:lang w:eastAsia="cs-CZ"/>
        </w:rPr>
        <w:drawing>
          <wp:inline distT="0" distB="0" distL="0" distR="0">
            <wp:extent cx="760095" cy="760095"/>
            <wp:effectExtent l="19050" t="0" r="1905" b="0"/>
            <wp:docPr id="1" name="obrázek 1" descr="Pavla Adamcová">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vla Adamcová"/>
                    <pic:cNvPicPr>
                      <a:picLocks noChangeAspect="1" noChangeArrowheads="1"/>
                    </pic:cNvPicPr>
                  </pic:nvPicPr>
                  <pic:blipFill>
                    <a:blip r:embed="rId5"/>
                    <a:srcRect/>
                    <a:stretch>
                      <a:fillRect/>
                    </a:stretch>
                  </pic:blipFill>
                  <pic:spPr bwMode="auto">
                    <a:xfrm>
                      <a:off x="0" y="0"/>
                      <a:ext cx="760095" cy="760095"/>
                    </a:xfrm>
                    <a:prstGeom prst="rect">
                      <a:avLst/>
                    </a:prstGeom>
                    <a:noFill/>
                    <a:ln w="9525">
                      <a:noFill/>
                      <a:miter lim="800000"/>
                      <a:headEnd/>
                      <a:tailEnd/>
                    </a:ln>
                  </pic:spPr>
                </pic:pic>
              </a:graphicData>
            </a:graphic>
          </wp:inline>
        </w:drawing>
      </w:r>
      <w:hyperlink r:id="rId6" w:history="1">
        <w:r w:rsidRPr="00586E60">
          <w:rPr>
            <w:rFonts w:ascii="Arial" w:eastAsia="Times New Roman" w:hAnsi="Arial" w:cs="Arial"/>
            <w:b/>
            <w:bCs/>
            <w:color w:val="1B69BF"/>
            <w:sz w:val="23"/>
            <w:u w:val="single"/>
            <w:lang w:eastAsia="cs-CZ"/>
          </w:rPr>
          <w:t>Pavla Adamcová</w:t>
        </w:r>
      </w:hyperlink>
    </w:p>
    <w:p w:rsidR="00586E60" w:rsidRPr="00586E60" w:rsidRDefault="00586E60" w:rsidP="00586E60">
      <w:pPr>
        <w:spacing w:line="356" w:lineRule="atLeast"/>
        <w:textAlignment w:val="baseline"/>
        <w:rPr>
          <w:rFonts w:ascii="Arial" w:eastAsia="Times New Roman" w:hAnsi="Arial" w:cs="Arial"/>
          <w:i/>
          <w:iCs/>
          <w:color w:val="828B8F"/>
          <w:sz w:val="23"/>
          <w:szCs w:val="23"/>
          <w:lang w:eastAsia="cs-CZ"/>
        </w:rPr>
      </w:pPr>
      <w:r w:rsidRPr="00586E60">
        <w:rPr>
          <w:rFonts w:ascii="Arial" w:eastAsia="Times New Roman" w:hAnsi="Arial" w:cs="Arial"/>
          <w:i/>
          <w:iCs/>
          <w:color w:val="828B8F"/>
          <w:sz w:val="23"/>
          <w:szCs w:val="23"/>
          <w:lang w:eastAsia="cs-CZ"/>
        </w:rPr>
        <w:t>před 5 hodinami</w:t>
      </w:r>
    </w:p>
    <w:p w:rsidR="00586E60" w:rsidRPr="00586E60" w:rsidRDefault="00586E60" w:rsidP="00586E60">
      <w:pPr>
        <w:spacing w:line="518" w:lineRule="atLeast"/>
        <w:textAlignment w:val="baseline"/>
        <w:rPr>
          <w:rFonts w:ascii="Times New Roman" w:eastAsia="Times New Roman" w:hAnsi="Times New Roman" w:cs="Times New Roman"/>
          <w:color w:val="05171F"/>
          <w:sz w:val="31"/>
          <w:szCs w:val="31"/>
          <w:lang w:eastAsia="cs-CZ"/>
        </w:rPr>
      </w:pPr>
      <w:r w:rsidRPr="00586E60">
        <w:rPr>
          <w:rFonts w:ascii="Times New Roman" w:eastAsia="Times New Roman" w:hAnsi="Times New Roman" w:cs="Times New Roman"/>
          <w:color w:val="05171F"/>
          <w:sz w:val="31"/>
          <w:szCs w:val="31"/>
          <w:lang w:eastAsia="cs-CZ"/>
        </w:rPr>
        <w:t>Po Řecku a Portugalsku přeskočilo Česko v "žebříčku bohatství" další z původních zemí EU. Loni totiž těsně překonalo v hrubém domácím produktu na obyvatele v paritě kupní síly - tedy v jednom z klíčových ukazatelů výkonnosti ekonomiky - rychle rostoucí Španělsko. Ukazují to nejnovější data Organizace pro hospodářskou spolupráci a rozvoj (OECD).</w:t>
      </w:r>
    </w:p>
    <w:p w:rsidR="00586E60" w:rsidRPr="00E93A2D" w:rsidRDefault="007311AB" w:rsidP="00E93A2D">
      <w:pPr>
        <w:spacing w:after="0" w:line="240" w:lineRule="auto"/>
        <w:textAlignment w:val="baseline"/>
        <w:rPr>
          <w:rFonts w:ascii="Arial" w:eastAsia="Times New Roman" w:hAnsi="Arial" w:cs="Arial"/>
          <w:color w:val="05171F"/>
          <w:sz w:val="28"/>
          <w:szCs w:val="28"/>
          <w:lang w:eastAsia="cs-CZ"/>
        </w:rPr>
      </w:pPr>
      <w:r w:rsidRPr="00586E60">
        <w:rPr>
          <w:rFonts w:ascii="Arial" w:eastAsia="Times New Roman" w:hAnsi="Arial" w:cs="Arial"/>
          <w:color w:val="05171F"/>
          <w:sz w:val="28"/>
          <w:szCs w:val="28"/>
          <w:lang w:eastAsia="cs-CZ"/>
        </w:rPr>
        <w:fldChar w:fldCharType="begin"/>
      </w:r>
      <w:r w:rsidR="00586E60" w:rsidRPr="00586E60">
        <w:rPr>
          <w:rFonts w:ascii="Arial" w:eastAsia="Times New Roman" w:hAnsi="Arial" w:cs="Arial"/>
          <w:color w:val="05171F"/>
          <w:sz w:val="28"/>
          <w:szCs w:val="28"/>
          <w:lang w:eastAsia="cs-CZ"/>
        </w:rPr>
        <w:instrText xml:space="preserve"> HYPERLINK "https://zpravy.aktualne.cz/koruna-mena-penize-ilustracni-foto/r~b78bb242a83b11e7811f002590604f2e/r~44d0e3daee7a11e9a24cac1f6b220ee8/" </w:instrText>
      </w:r>
      <w:r w:rsidRPr="00586E60">
        <w:rPr>
          <w:rFonts w:ascii="Arial" w:eastAsia="Times New Roman" w:hAnsi="Arial" w:cs="Arial"/>
          <w:color w:val="05171F"/>
          <w:sz w:val="28"/>
          <w:szCs w:val="28"/>
          <w:lang w:eastAsia="cs-CZ"/>
        </w:rPr>
        <w:fldChar w:fldCharType="separate"/>
      </w:r>
    </w:p>
    <w:p w:rsidR="00586E60" w:rsidRPr="00586E60" w:rsidRDefault="007311AB" w:rsidP="00586E60">
      <w:pPr>
        <w:spacing w:line="240" w:lineRule="auto"/>
        <w:textAlignment w:val="baseline"/>
        <w:rPr>
          <w:rFonts w:ascii="Arial" w:eastAsia="Times New Roman" w:hAnsi="Arial" w:cs="Arial"/>
          <w:color w:val="05171F"/>
          <w:sz w:val="28"/>
          <w:szCs w:val="28"/>
          <w:lang w:eastAsia="cs-CZ"/>
        </w:rPr>
      </w:pPr>
      <w:r w:rsidRPr="00586E60">
        <w:rPr>
          <w:rFonts w:ascii="Arial" w:eastAsia="Times New Roman" w:hAnsi="Arial" w:cs="Arial"/>
          <w:color w:val="05171F"/>
          <w:sz w:val="28"/>
          <w:szCs w:val="28"/>
          <w:lang w:eastAsia="cs-CZ"/>
        </w:rPr>
        <w:fldChar w:fldCharType="end"/>
      </w:r>
    </w:p>
    <w:p w:rsidR="00E93A2D" w:rsidRPr="00E93A2D" w:rsidRDefault="00586E60" w:rsidP="00E93A2D">
      <w:pPr>
        <w:spacing w:after="0" w:line="469" w:lineRule="atLeast"/>
        <w:textAlignment w:val="baseline"/>
        <w:rPr>
          <w:rFonts w:ascii="Times New Roman" w:eastAsia="Times New Roman" w:hAnsi="Times New Roman" w:cs="Times New Roman"/>
          <w:color w:val="05171F"/>
          <w:sz w:val="28"/>
          <w:szCs w:val="28"/>
          <w:lang w:eastAsia="cs-CZ"/>
        </w:rPr>
      </w:pPr>
      <w:r w:rsidRPr="00586E60">
        <w:rPr>
          <w:rFonts w:ascii="Times New Roman" w:eastAsia="Times New Roman" w:hAnsi="Times New Roman" w:cs="Times New Roman"/>
          <w:color w:val="05171F"/>
          <w:sz w:val="28"/>
          <w:szCs w:val="28"/>
          <w:lang w:eastAsia="cs-CZ"/>
        </w:rPr>
        <w:t>Česko dohání západ Evropy. Podle </w:t>
      </w:r>
      <w:hyperlink r:id="rId7" w:tgtFrame="_blank" w:history="1">
        <w:r w:rsidRPr="00586E60">
          <w:rPr>
            <w:rFonts w:ascii="Times New Roman" w:eastAsia="Times New Roman" w:hAnsi="Times New Roman" w:cs="Times New Roman"/>
            <w:color w:val="1B69BF"/>
            <w:sz w:val="28"/>
            <w:u w:val="single"/>
            <w:lang w:eastAsia="cs-CZ"/>
          </w:rPr>
          <w:t>nejnovějších dat</w:t>
        </w:r>
      </w:hyperlink>
      <w:r w:rsidRPr="00586E60">
        <w:rPr>
          <w:rFonts w:ascii="Times New Roman" w:eastAsia="Times New Roman" w:hAnsi="Times New Roman" w:cs="Times New Roman"/>
          <w:color w:val="05171F"/>
          <w:sz w:val="28"/>
          <w:szCs w:val="28"/>
          <w:lang w:eastAsia="cs-CZ"/>
        </w:rPr>
        <w:t> OECD loni dosáhlo v HDP na obyvatele po přepočtu na kupní sílu 39 741 amerických dolarů, zatímco Španělsko "jen" 39 711 dolarů. Zjednodušeně to znamená, že Čech si za své příslušné pomyslné HDP (produkt, co ekonomika vytvoří jako celek) koupí doma více než Španěl.</w:t>
      </w:r>
    </w:p>
    <w:p w:rsidR="00586E60" w:rsidRPr="00586E60" w:rsidRDefault="00586E60" w:rsidP="00586E60">
      <w:pPr>
        <w:spacing w:line="240" w:lineRule="auto"/>
        <w:textAlignment w:val="baseline"/>
        <w:rPr>
          <w:rFonts w:ascii="Arial" w:eastAsia="Times New Roman" w:hAnsi="Arial" w:cs="Arial"/>
          <w:color w:val="05171F"/>
          <w:sz w:val="28"/>
          <w:szCs w:val="28"/>
          <w:lang w:eastAsia="cs-CZ"/>
        </w:rPr>
      </w:pPr>
    </w:p>
    <w:p w:rsidR="00586E60" w:rsidRPr="00586E60" w:rsidRDefault="00586E60" w:rsidP="00586E60">
      <w:pPr>
        <w:spacing w:after="388" w:line="469" w:lineRule="atLeast"/>
        <w:textAlignment w:val="baseline"/>
        <w:rPr>
          <w:rFonts w:ascii="Times New Roman" w:eastAsia="Times New Roman" w:hAnsi="Times New Roman" w:cs="Times New Roman"/>
          <w:color w:val="05171F"/>
          <w:sz w:val="28"/>
          <w:szCs w:val="28"/>
          <w:lang w:eastAsia="cs-CZ"/>
        </w:rPr>
      </w:pPr>
      <w:r w:rsidRPr="00586E60">
        <w:rPr>
          <w:rFonts w:ascii="Times New Roman" w:eastAsia="Times New Roman" w:hAnsi="Times New Roman" w:cs="Times New Roman"/>
          <w:color w:val="05171F"/>
          <w:sz w:val="28"/>
          <w:szCs w:val="28"/>
          <w:lang w:eastAsia="cs-CZ"/>
        </w:rPr>
        <w:t xml:space="preserve">"Česko dlouhodobě dohání ekonomicky vyspělejší státy Evropy, některé z nich už i předhání. Jedná se například o státy jižního křídla </w:t>
      </w:r>
      <w:proofErr w:type="spellStart"/>
      <w:r w:rsidRPr="00586E60">
        <w:rPr>
          <w:rFonts w:ascii="Times New Roman" w:eastAsia="Times New Roman" w:hAnsi="Times New Roman" w:cs="Times New Roman"/>
          <w:color w:val="05171F"/>
          <w:sz w:val="28"/>
          <w:szCs w:val="28"/>
          <w:lang w:eastAsia="cs-CZ"/>
        </w:rPr>
        <w:t>eurozóny</w:t>
      </w:r>
      <w:proofErr w:type="spellEnd"/>
      <w:r w:rsidRPr="00586E60">
        <w:rPr>
          <w:rFonts w:ascii="Times New Roman" w:eastAsia="Times New Roman" w:hAnsi="Times New Roman" w:cs="Times New Roman"/>
          <w:color w:val="05171F"/>
          <w:sz w:val="28"/>
          <w:szCs w:val="28"/>
          <w:lang w:eastAsia="cs-CZ"/>
        </w:rPr>
        <w:t xml:space="preserve">, včetně právě Španělska, které byly obzvláště těžce zasaženy dluhovou krizí první poloviny </w:t>
      </w:r>
      <w:r w:rsidRPr="00586E60">
        <w:rPr>
          <w:rFonts w:ascii="Times New Roman" w:eastAsia="Times New Roman" w:hAnsi="Times New Roman" w:cs="Times New Roman"/>
          <w:color w:val="05171F"/>
          <w:sz w:val="28"/>
          <w:szCs w:val="28"/>
          <w:lang w:eastAsia="cs-CZ"/>
        </w:rPr>
        <w:lastRenderedPageBreak/>
        <w:t xml:space="preserve">končícího desetiletí. Dluhová krize silně poškodila ekonomiky jihu </w:t>
      </w:r>
      <w:proofErr w:type="spellStart"/>
      <w:r w:rsidRPr="00586E60">
        <w:rPr>
          <w:rFonts w:ascii="Times New Roman" w:eastAsia="Times New Roman" w:hAnsi="Times New Roman" w:cs="Times New Roman"/>
          <w:color w:val="05171F"/>
          <w:sz w:val="28"/>
          <w:szCs w:val="28"/>
          <w:lang w:eastAsia="cs-CZ"/>
        </w:rPr>
        <w:t>eurozóny</w:t>
      </w:r>
      <w:proofErr w:type="spellEnd"/>
      <w:r w:rsidRPr="00586E60">
        <w:rPr>
          <w:rFonts w:ascii="Times New Roman" w:eastAsia="Times New Roman" w:hAnsi="Times New Roman" w:cs="Times New Roman"/>
          <w:color w:val="05171F"/>
          <w:sz w:val="28"/>
          <w:szCs w:val="28"/>
          <w:lang w:eastAsia="cs-CZ"/>
        </w:rPr>
        <w:t xml:space="preserve">, například tamní průmysl. Země střední a východní Evropy zdaleka tak těžce zasaženy nebyly, což jim umožňuje se nyní právě s jižní částí </w:t>
      </w:r>
      <w:proofErr w:type="spellStart"/>
      <w:r w:rsidRPr="00586E60">
        <w:rPr>
          <w:rFonts w:ascii="Times New Roman" w:eastAsia="Times New Roman" w:hAnsi="Times New Roman" w:cs="Times New Roman"/>
          <w:color w:val="05171F"/>
          <w:sz w:val="28"/>
          <w:szCs w:val="28"/>
          <w:lang w:eastAsia="cs-CZ"/>
        </w:rPr>
        <w:t>eurozóny</w:t>
      </w:r>
      <w:proofErr w:type="spellEnd"/>
      <w:r w:rsidRPr="00586E60">
        <w:rPr>
          <w:rFonts w:ascii="Times New Roman" w:eastAsia="Times New Roman" w:hAnsi="Times New Roman" w:cs="Times New Roman"/>
          <w:color w:val="05171F"/>
          <w:sz w:val="28"/>
          <w:szCs w:val="28"/>
          <w:lang w:eastAsia="cs-CZ"/>
        </w:rPr>
        <w:t xml:space="preserve"> srovnávat rychleji než s jinými částmi </w:t>
      </w:r>
      <w:proofErr w:type="spellStart"/>
      <w:r w:rsidRPr="00586E60">
        <w:rPr>
          <w:rFonts w:ascii="Times New Roman" w:eastAsia="Times New Roman" w:hAnsi="Times New Roman" w:cs="Times New Roman"/>
          <w:color w:val="05171F"/>
          <w:sz w:val="28"/>
          <w:szCs w:val="28"/>
          <w:lang w:eastAsia="cs-CZ"/>
        </w:rPr>
        <w:t>eurozóny</w:t>
      </w:r>
      <w:proofErr w:type="spellEnd"/>
      <w:r w:rsidRPr="00586E60">
        <w:rPr>
          <w:rFonts w:ascii="Times New Roman" w:eastAsia="Times New Roman" w:hAnsi="Times New Roman" w:cs="Times New Roman"/>
          <w:color w:val="05171F"/>
          <w:sz w:val="28"/>
          <w:szCs w:val="28"/>
          <w:lang w:eastAsia="cs-CZ"/>
        </w:rPr>
        <w:t xml:space="preserve">," vysvětluje analytik </w:t>
      </w:r>
      <w:proofErr w:type="spellStart"/>
      <w:r w:rsidRPr="00586E60">
        <w:rPr>
          <w:rFonts w:ascii="Times New Roman" w:eastAsia="Times New Roman" w:hAnsi="Times New Roman" w:cs="Times New Roman"/>
          <w:color w:val="05171F"/>
          <w:sz w:val="28"/>
          <w:szCs w:val="28"/>
          <w:lang w:eastAsia="cs-CZ"/>
        </w:rPr>
        <w:t>Czech</w:t>
      </w:r>
      <w:proofErr w:type="spellEnd"/>
      <w:r w:rsidRPr="00586E60">
        <w:rPr>
          <w:rFonts w:ascii="Times New Roman" w:eastAsia="Times New Roman" w:hAnsi="Times New Roman" w:cs="Times New Roman"/>
          <w:color w:val="05171F"/>
          <w:sz w:val="28"/>
          <w:szCs w:val="28"/>
          <w:lang w:eastAsia="cs-CZ"/>
        </w:rPr>
        <w:t xml:space="preserve"> </w:t>
      </w:r>
      <w:proofErr w:type="spellStart"/>
      <w:r w:rsidRPr="00586E60">
        <w:rPr>
          <w:rFonts w:ascii="Times New Roman" w:eastAsia="Times New Roman" w:hAnsi="Times New Roman" w:cs="Times New Roman"/>
          <w:color w:val="05171F"/>
          <w:sz w:val="28"/>
          <w:szCs w:val="28"/>
          <w:lang w:eastAsia="cs-CZ"/>
        </w:rPr>
        <w:t>Fund</w:t>
      </w:r>
      <w:proofErr w:type="spellEnd"/>
      <w:r w:rsidRPr="00586E60">
        <w:rPr>
          <w:rFonts w:ascii="Times New Roman" w:eastAsia="Times New Roman" w:hAnsi="Times New Roman" w:cs="Times New Roman"/>
          <w:color w:val="05171F"/>
          <w:sz w:val="28"/>
          <w:szCs w:val="28"/>
          <w:lang w:eastAsia="cs-CZ"/>
        </w:rPr>
        <w:t xml:space="preserve"> Lukáš Kovanda.</w:t>
      </w:r>
    </w:p>
    <w:p w:rsidR="00E93A2D" w:rsidRPr="00E93A2D" w:rsidRDefault="00586E60" w:rsidP="00E93A2D">
      <w:pPr>
        <w:spacing w:after="388" w:line="469" w:lineRule="atLeast"/>
        <w:textAlignment w:val="baseline"/>
        <w:rPr>
          <w:rFonts w:ascii="Times New Roman" w:eastAsia="Times New Roman" w:hAnsi="Times New Roman" w:cs="Times New Roman"/>
          <w:color w:val="05171F"/>
          <w:sz w:val="28"/>
          <w:szCs w:val="28"/>
          <w:lang w:eastAsia="cs-CZ"/>
        </w:rPr>
      </w:pPr>
      <w:r w:rsidRPr="00586E60">
        <w:rPr>
          <w:rFonts w:ascii="Times New Roman" w:eastAsia="Times New Roman" w:hAnsi="Times New Roman" w:cs="Times New Roman"/>
          <w:color w:val="05171F"/>
          <w:sz w:val="28"/>
          <w:szCs w:val="28"/>
          <w:lang w:eastAsia="cs-CZ"/>
        </w:rPr>
        <w:t>Za sebou jsme sice již před časem nechali i své sousedy Slováky, Maďary a Poláky, i tak jsme v "žebříčku bohatství" - tedy srovnání podle HDP na hlavu v paritě kupní síly - mezi evropskými státy na 16. místě. A například průměr Evropské unie činí 43 561 dolarů</w:t>
      </w:r>
    </w:p>
    <w:p w:rsidR="00586E60" w:rsidRPr="00586E60" w:rsidRDefault="00586E60" w:rsidP="00586E60">
      <w:pPr>
        <w:spacing w:line="240" w:lineRule="auto"/>
        <w:textAlignment w:val="baseline"/>
        <w:rPr>
          <w:rFonts w:ascii="Arial" w:eastAsia="Times New Roman" w:hAnsi="Arial" w:cs="Arial"/>
          <w:color w:val="05171F"/>
          <w:sz w:val="28"/>
          <w:szCs w:val="28"/>
          <w:lang w:eastAsia="cs-CZ"/>
        </w:rPr>
      </w:pPr>
    </w:p>
    <w:p w:rsidR="00586E60" w:rsidRPr="00E93A2D" w:rsidRDefault="00586E60" w:rsidP="00E93A2D">
      <w:pPr>
        <w:spacing w:after="388" w:line="469" w:lineRule="atLeast"/>
        <w:textAlignment w:val="baseline"/>
        <w:rPr>
          <w:rFonts w:ascii="Times New Roman" w:eastAsia="Times New Roman" w:hAnsi="Times New Roman" w:cs="Times New Roman"/>
          <w:color w:val="05171F"/>
          <w:sz w:val="28"/>
          <w:szCs w:val="28"/>
          <w:lang w:eastAsia="cs-CZ"/>
        </w:rPr>
      </w:pPr>
      <w:r w:rsidRPr="00586E60">
        <w:rPr>
          <w:rFonts w:ascii="Times New Roman" w:eastAsia="Times New Roman" w:hAnsi="Times New Roman" w:cs="Times New Roman"/>
          <w:color w:val="05171F"/>
          <w:sz w:val="28"/>
          <w:szCs w:val="28"/>
          <w:lang w:eastAsia="cs-CZ"/>
        </w:rPr>
        <w:t>Navíc i tato data mají svá úskalí - ukazatel hrubého domácího produktu na hlavu zahrnuje i objem produkce, která posléze odtéká ze země ve formě dividend. Kovanda upozorňuje, že pokud by se bral v potaz odliv a příliv dividend - tedy pokud bychom počítali takzvaný hrubý národní důchod na hlavu místo hrubého domácího produktu na hlavu - bylo by Česko pravděpodobně stále za Španělskem.</w:t>
      </w:r>
    </w:p>
    <w:p w:rsidR="00586E60" w:rsidRPr="00586E60" w:rsidRDefault="00586E60" w:rsidP="00586E60">
      <w:pPr>
        <w:spacing w:after="388" w:line="469" w:lineRule="atLeast"/>
        <w:textAlignment w:val="baseline"/>
        <w:rPr>
          <w:rFonts w:ascii="Times New Roman" w:eastAsia="Times New Roman" w:hAnsi="Times New Roman" w:cs="Times New Roman"/>
          <w:color w:val="05171F"/>
          <w:sz w:val="28"/>
          <w:szCs w:val="28"/>
          <w:lang w:eastAsia="cs-CZ"/>
        </w:rPr>
      </w:pPr>
      <w:r w:rsidRPr="00586E60">
        <w:rPr>
          <w:rFonts w:ascii="Times New Roman" w:eastAsia="Times New Roman" w:hAnsi="Times New Roman" w:cs="Times New Roman"/>
          <w:color w:val="05171F"/>
          <w:sz w:val="28"/>
          <w:szCs w:val="28"/>
          <w:lang w:eastAsia="cs-CZ"/>
        </w:rPr>
        <w:t xml:space="preserve">Ani podle údajů </w:t>
      </w:r>
      <w:proofErr w:type="spellStart"/>
      <w:r w:rsidRPr="00586E60">
        <w:rPr>
          <w:rFonts w:ascii="Times New Roman" w:eastAsia="Times New Roman" w:hAnsi="Times New Roman" w:cs="Times New Roman"/>
          <w:color w:val="05171F"/>
          <w:sz w:val="28"/>
          <w:szCs w:val="28"/>
          <w:lang w:eastAsia="cs-CZ"/>
        </w:rPr>
        <w:t>Eurostatu</w:t>
      </w:r>
      <w:proofErr w:type="spellEnd"/>
      <w:r w:rsidRPr="00586E60">
        <w:rPr>
          <w:rFonts w:ascii="Times New Roman" w:eastAsia="Times New Roman" w:hAnsi="Times New Roman" w:cs="Times New Roman"/>
          <w:color w:val="05171F"/>
          <w:sz w:val="28"/>
          <w:szCs w:val="28"/>
          <w:lang w:eastAsia="cs-CZ"/>
        </w:rPr>
        <w:t xml:space="preserve"> Češi Španělsko loni ještě nepředstihli. Obě země v roce 2018 shodně dosáhly 91,2 procenta průměru Evropské unie. "Letos už ale nejspíše Španělsko necháme za zády, česká ekonomika aktuálně roste rychleji než španělské hospodářství. Na dohled je Itálie, kterou bychom mohli dostihnout za několik málo let," říká pro Aktuálně.</w:t>
      </w:r>
      <w:proofErr w:type="spellStart"/>
      <w:r w:rsidRPr="00586E60">
        <w:rPr>
          <w:rFonts w:ascii="Times New Roman" w:eastAsia="Times New Roman" w:hAnsi="Times New Roman" w:cs="Times New Roman"/>
          <w:color w:val="05171F"/>
          <w:sz w:val="28"/>
          <w:szCs w:val="28"/>
          <w:lang w:eastAsia="cs-CZ"/>
        </w:rPr>
        <w:t>cz</w:t>
      </w:r>
      <w:proofErr w:type="spellEnd"/>
      <w:r w:rsidRPr="00586E60">
        <w:rPr>
          <w:rFonts w:ascii="Times New Roman" w:eastAsia="Times New Roman" w:hAnsi="Times New Roman" w:cs="Times New Roman"/>
          <w:color w:val="05171F"/>
          <w:sz w:val="28"/>
          <w:szCs w:val="28"/>
          <w:lang w:eastAsia="cs-CZ"/>
        </w:rPr>
        <w:t xml:space="preserve"> ekonom společnosti </w:t>
      </w:r>
      <w:proofErr w:type="spellStart"/>
      <w:r w:rsidRPr="00586E60">
        <w:rPr>
          <w:rFonts w:ascii="Times New Roman" w:eastAsia="Times New Roman" w:hAnsi="Times New Roman" w:cs="Times New Roman"/>
          <w:color w:val="05171F"/>
          <w:sz w:val="28"/>
          <w:szCs w:val="28"/>
          <w:lang w:eastAsia="cs-CZ"/>
        </w:rPr>
        <w:t>Deloitte</w:t>
      </w:r>
      <w:proofErr w:type="spellEnd"/>
      <w:r w:rsidRPr="00586E60">
        <w:rPr>
          <w:rFonts w:ascii="Times New Roman" w:eastAsia="Times New Roman" w:hAnsi="Times New Roman" w:cs="Times New Roman"/>
          <w:color w:val="05171F"/>
          <w:sz w:val="28"/>
          <w:szCs w:val="28"/>
          <w:lang w:eastAsia="cs-CZ"/>
        </w:rPr>
        <w:t xml:space="preserve"> David Marek.</w:t>
      </w:r>
    </w:p>
    <w:p w:rsidR="00586E60" w:rsidRPr="00586E60" w:rsidRDefault="00586E60" w:rsidP="00586E60">
      <w:pPr>
        <w:spacing w:line="469" w:lineRule="atLeast"/>
        <w:textAlignment w:val="baseline"/>
        <w:rPr>
          <w:rFonts w:ascii="Times New Roman" w:eastAsia="Times New Roman" w:hAnsi="Times New Roman" w:cs="Times New Roman"/>
          <w:color w:val="05171F"/>
          <w:sz w:val="28"/>
          <w:szCs w:val="28"/>
          <w:lang w:eastAsia="cs-CZ"/>
        </w:rPr>
      </w:pPr>
      <w:r w:rsidRPr="00586E60">
        <w:rPr>
          <w:rFonts w:ascii="Times New Roman" w:eastAsia="Times New Roman" w:hAnsi="Times New Roman" w:cs="Times New Roman"/>
          <w:b/>
          <w:bCs/>
          <w:color w:val="05171F"/>
          <w:sz w:val="28"/>
          <w:lang w:eastAsia="cs-CZ"/>
        </w:rPr>
        <w:t>HDP na osobu podle parity kupní síly dle OECD</w:t>
      </w:r>
    </w:p>
    <w:tbl>
      <w:tblPr>
        <w:tblW w:w="9320" w:type="dxa"/>
        <w:tblCellMar>
          <w:left w:w="0" w:type="dxa"/>
          <w:right w:w="0" w:type="dxa"/>
        </w:tblCellMar>
        <w:tblLook w:val="04A0"/>
      </w:tblPr>
      <w:tblGrid>
        <w:gridCol w:w="4660"/>
        <w:gridCol w:w="4660"/>
      </w:tblGrid>
      <w:tr w:rsidR="00586E60" w:rsidRPr="00586E60" w:rsidTr="00586E60">
        <w:trPr>
          <w:trHeight w:val="259"/>
        </w:trPr>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b/>
                <w:bCs/>
                <w:color w:val="444444"/>
                <w:sz w:val="21"/>
                <w:lang w:eastAsia="cs-CZ"/>
              </w:rPr>
              <w:t>Země</w:t>
            </w:r>
          </w:p>
        </w:tc>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b/>
                <w:bCs/>
                <w:color w:val="444444"/>
                <w:sz w:val="21"/>
                <w:lang w:eastAsia="cs-CZ"/>
              </w:rPr>
              <w:t>2018</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1. Lucembursko</w:t>
            </w:r>
          </w:p>
        </w:tc>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113 137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2. Irsko</w:t>
            </w:r>
          </w:p>
        </w:tc>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83 081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lastRenderedPageBreak/>
              <w:t>3. Švýcarsko</w:t>
            </w:r>
          </w:p>
        </w:tc>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68 079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4. Norsko</w:t>
            </w:r>
          </w:p>
        </w:tc>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65 515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5. USA</w:t>
            </w:r>
          </w:p>
        </w:tc>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62 853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6. Island</w:t>
            </w:r>
          </w:p>
        </w:tc>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57 453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7. Nizozemsko</w:t>
            </w:r>
          </w:p>
        </w:tc>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56 326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8. Rakousko</w:t>
            </w:r>
          </w:p>
        </w:tc>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55 513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9. Dánsko</w:t>
            </w:r>
          </w:p>
        </w:tc>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55 138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10. Austrálie</w:t>
            </w:r>
          </w:p>
        </w:tc>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54 144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11. Německo</w:t>
            </w:r>
          </w:p>
        </w:tc>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53 749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12. Švédsko</w:t>
            </w:r>
          </w:p>
        </w:tc>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53 249 USD</w:t>
            </w:r>
          </w:p>
        </w:tc>
      </w:tr>
      <w:tr w:rsidR="00586E60" w:rsidRPr="00586E60" w:rsidTr="00586E60">
        <w:trPr>
          <w:trHeight w:val="259"/>
        </w:trPr>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13. Belgie</w:t>
            </w:r>
          </w:p>
        </w:tc>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50 442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14. Kanada</w:t>
            </w:r>
          </w:p>
        </w:tc>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48 107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15. Finsko</w:t>
            </w:r>
          </w:p>
        </w:tc>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47 946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 xml:space="preserve">16. </w:t>
            </w:r>
            <w:proofErr w:type="spellStart"/>
            <w:r w:rsidRPr="00586E60">
              <w:rPr>
                <w:rFonts w:ascii="Times New Roman" w:eastAsia="Times New Roman" w:hAnsi="Times New Roman" w:cs="Times New Roman"/>
                <w:color w:val="444444"/>
                <w:sz w:val="21"/>
                <w:szCs w:val="21"/>
                <w:lang w:eastAsia="cs-CZ"/>
              </w:rPr>
              <w:t>Eurozóna</w:t>
            </w:r>
            <w:proofErr w:type="spellEnd"/>
          </w:p>
        </w:tc>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46 145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17. OECD</w:t>
            </w:r>
          </w:p>
        </w:tc>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45 760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18. Velká Británie</w:t>
            </w:r>
          </w:p>
        </w:tc>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45 505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19. Francie</w:t>
            </w:r>
          </w:p>
        </w:tc>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45 149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b/>
                <w:bCs/>
                <w:color w:val="444444"/>
                <w:sz w:val="21"/>
                <w:lang w:eastAsia="cs-CZ"/>
              </w:rPr>
              <w:t>20. EU</w:t>
            </w:r>
          </w:p>
        </w:tc>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b/>
                <w:bCs/>
                <w:color w:val="444444"/>
                <w:sz w:val="21"/>
                <w:lang w:eastAsia="cs-CZ"/>
              </w:rPr>
              <w:t>43 561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21. Japonsko</w:t>
            </w:r>
          </w:p>
        </w:tc>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42 823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22. Malta</w:t>
            </w:r>
          </w:p>
        </w:tc>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42 710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b/>
                <w:bCs/>
                <w:color w:val="444444"/>
                <w:sz w:val="21"/>
                <w:lang w:eastAsia="cs-CZ"/>
              </w:rPr>
              <w:t>23. Itálie</w:t>
            </w:r>
          </w:p>
        </w:tc>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b/>
                <w:bCs/>
                <w:color w:val="444444"/>
                <w:sz w:val="21"/>
                <w:lang w:eastAsia="cs-CZ"/>
              </w:rPr>
              <w:t>41 837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24. Nový Zéland</w:t>
            </w:r>
          </w:p>
        </w:tc>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40 713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25. Jižní Korea</w:t>
            </w:r>
          </w:p>
        </w:tc>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40 096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26. Izrael</w:t>
            </w:r>
          </w:p>
        </w:tc>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color w:val="444444"/>
                <w:sz w:val="21"/>
                <w:szCs w:val="21"/>
                <w:lang w:eastAsia="cs-CZ"/>
              </w:rPr>
              <w:t>39 932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b/>
                <w:bCs/>
                <w:color w:val="444444"/>
                <w:sz w:val="21"/>
                <w:lang w:eastAsia="cs-CZ"/>
              </w:rPr>
              <w:t>27. Česko</w:t>
            </w:r>
          </w:p>
        </w:tc>
        <w:tc>
          <w:tcPr>
            <w:tcW w:w="1877" w:type="dxa"/>
            <w:tcBorders>
              <w:top w:val="single" w:sz="6" w:space="0" w:color="CCCCCC"/>
              <w:left w:val="single" w:sz="6" w:space="0" w:color="CCCCCC"/>
              <w:bottom w:val="single" w:sz="6" w:space="0" w:color="CCCCCC"/>
              <w:right w:val="single" w:sz="6" w:space="0" w:color="CCCCCC"/>
            </w:tcBorders>
            <w:shd w:val="clear" w:color="auto" w:fill="F2F2F2"/>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b/>
                <w:bCs/>
                <w:color w:val="444444"/>
                <w:sz w:val="21"/>
                <w:lang w:eastAsia="cs-CZ"/>
              </w:rPr>
              <w:t>39 741 USD</w:t>
            </w:r>
          </w:p>
        </w:tc>
      </w:tr>
      <w:tr w:rsidR="00586E60" w:rsidRPr="00586E60" w:rsidTr="00586E60">
        <w:trPr>
          <w:trHeight w:val="243"/>
        </w:trPr>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b/>
                <w:bCs/>
                <w:color w:val="444444"/>
                <w:sz w:val="21"/>
                <w:lang w:eastAsia="cs-CZ"/>
              </w:rPr>
              <w:t>28. Španělsko</w:t>
            </w:r>
          </w:p>
        </w:tc>
        <w:tc>
          <w:tcPr>
            <w:tcW w:w="1877" w:type="dxa"/>
            <w:tcBorders>
              <w:top w:val="single" w:sz="6" w:space="0" w:color="CCCCCC"/>
              <w:left w:val="single" w:sz="6" w:space="0" w:color="CCCCCC"/>
              <w:bottom w:val="single" w:sz="6" w:space="0" w:color="CCCCCC"/>
              <w:right w:val="single" w:sz="6" w:space="0" w:color="CCCCCC"/>
            </w:tcBorders>
            <w:shd w:val="clear" w:color="auto" w:fill="FFFFFF"/>
            <w:tcMar>
              <w:top w:w="49" w:type="dxa"/>
              <w:left w:w="162" w:type="dxa"/>
              <w:bottom w:w="49" w:type="dxa"/>
              <w:right w:w="162" w:type="dxa"/>
            </w:tcMar>
            <w:hideMark/>
          </w:tcPr>
          <w:p w:rsidR="00586E60" w:rsidRPr="00586E60" w:rsidRDefault="00586E60" w:rsidP="00586E60">
            <w:pPr>
              <w:spacing w:after="0" w:line="324" w:lineRule="atLeast"/>
              <w:rPr>
                <w:rFonts w:ascii="Times New Roman" w:eastAsia="Times New Roman" w:hAnsi="Times New Roman" w:cs="Times New Roman"/>
                <w:color w:val="444444"/>
                <w:sz w:val="21"/>
                <w:szCs w:val="21"/>
                <w:lang w:eastAsia="cs-CZ"/>
              </w:rPr>
            </w:pPr>
            <w:r w:rsidRPr="00586E60">
              <w:rPr>
                <w:rFonts w:ascii="Times New Roman" w:eastAsia="Times New Roman" w:hAnsi="Times New Roman" w:cs="Times New Roman"/>
                <w:b/>
                <w:bCs/>
                <w:color w:val="444444"/>
                <w:sz w:val="21"/>
                <w:lang w:eastAsia="cs-CZ"/>
              </w:rPr>
              <w:t>39 711 USD</w:t>
            </w:r>
          </w:p>
        </w:tc>
      </w:tr>
    </w:tbl>
    <w:p w:rsidR="00586E60" w:rsidRPr="00586E60" w:rsidRDefault="00586E60" w:rsidP="00586E60">
      <w:pPr>
        <w:spacing w:after="388" w:line="469" w:lineRule="atLeast"/>
        <w:textAlignment w:val="baseline"/>
        <w:rPr>
          <w:rFonts w:ascii="Times New Roman" w:eastAsia="Times New Roman" w:hAnsi="Times New Roman" w:cs="Times New Roman"/>
          <w:color w:val="05171F"/>
          <w:sz w:val="28"/>
          <w:szCs w:val="28"/>
          <w:lang w:eastAsia="cs-CZ"/>
        </w:rPr>
      </w:pPr>
      <w:r w:rsidRPr="00586E60">
        <w:rPr>
          <w:rFonts w:ascii="Times New Roman" w:eastAsia="Times New Roman" w:hAnsi="Times New Roman" w:cs="Times New Roman"/>
          <w:color w:val="05171F"/>
          <w:sz w:val="28"/>
          <w:szCs w:val="28"/>
          <w:lang w:eastAsia="cs-CZ"/>
        </w:rPr>
        <w:t>Itálie loni v HDP na obyvatele dle parity kupní síly dosáhla podle OECD výše 41 837 dolarů - je na tom tedy stále lépe než Česko i Španělsko.</w:t>
      </w:r>
    </w:p>
    <w:p w:rsidR="00E93A2D" w:rsidRPr="00E93A2D" w:rsidRDefault="00586E60" w:rsidP="00E93A2D">
      <w:pPr>
        <w:spacing w:after="388" w:line="469" w:lineRule="atLeast"/>
        <w:textAlignment w:val="baseline"/>
        <w:rPr>
          <w:rFonts w:ascii="Times New Roman" w:eastAsia="Times New Roman" w:hAnsi="Times New Roman" w:cs="Times New Roman"/>
          <w:color w:val="05171F"/>
          <w:sz w:val="28"/>
          <w:szCs w:val="28"/>
          <w:lang w:eastAsia="cs-CZ"/>
        </w:rPr>
      </w:pPr>
      <w:r w:rsidRPr="00586E60">
        <w:rPr>
          <w:rFonts w:ascii="Times New Roman" w:eastAsia="Times New Roman" w:hAnsi="Times New Roman" w:cs="Times New Roman"/>
          <w:color w:val="05171F"/>
          <w:sz w:val="28"/>
          <w:szCs w:val="28"/>
          <w:lang w:eastAsia="cs-CZ"/>
        </w:rPr>
        <w:t xml:space="preserve">Také vyspělejší část Evropy je o nutný kus jinde - Německo, Rakousko i Skandinávie dosahují HDP na obyvatele v paritě kupní síly kolem 120 až 130 </w:t>
      </w:r>
      <w:r w:rsidRPr="00586E60">
        <w:rPr>
          <w:rFonts w:ascii="Times New Roman" w:eastAsia="Times New Roman" w:hAnsi="Times New Roman" w:cs="Times New Roman"/>
          <w:color w:val="05171F"/>
          <w:sz w:val="28"/>
          <w:szCs w:val="28"/>
          <w:lang w:eastAsia="cs-CZ"/>
        </w:rPr>
        <w:lastRenderedPageBreak/>
        <w:t>procent průměru Evropské unie. "Abychom se jim přiblížili, musela by česká ekonomika růst dlouhodobě podstatně rychleji než dosud. Jenže to by musela mít naše země smysluplnou dlouhodobou koncepci vývoje a do své budoucnosti více investovat, což se bohužel neděje," podotýká Mar</w:t>
      </w:r>
      <w:r w:rsidR="00E93A2D">
        <w:rPr>
          <w:rFonts w:ascii="Times New Roman" w:eastAsia="Times New Roman" w:hAnsi="Times New Roman" w:cs="Times New Roman"/>
          <w:color w:val="05171F"/>
          <w:sz w:val="28"/>
          <w:szCs w:val="28"/>
          <w:lang w:eastAsia="cs-CZ"/>
        </w:rPr>
        <w:t>ek.</w:t>
      </w:r>
    </w:p>
    <w:p w:rsidR="00586E60" w:rsidRPr="00586E60" w:rsidRDefault="00586E60" w:rsidP="00586E60">
      <w:pPr>
        <w:spacing w:line="240" w:lineRule="auto"/>
        <w:textAlignment w:val="baseline"/>
        <w:rPr>
          <w:rFonts w:ascii="Arial" w:eastAsia="Times New Roman" w:hAnsi="Arial" w:cs="Arial"/>
          <w:color w:val="05171F"/>
          <w:sz w:val="28"/>
          <w:szCs w:val="28"/>
          <w:lang w:eastAsia="cs-CZ"/>
        </w:rPr>
      </w:pPr>
    </w:p>
    <w:p w:rsidR="00586E60" w:rsidRPr="00586E60" w:rsidRDefault="00586E60" w:rsidP="00586E60">
      <w:pPr>
        <w:spacing w:after="388" w:line="469" w:lineRule="atLeast"/>
        <w:textAlignment w:val="baseline"/>
        <w:rPr>
          <w:rFonts w:ascii="Times New Roman" w:eastAsia="Times New Roman" w:hAnsi="Times New Roman" w:cs="Times New Roman"/>
          <w:color w:val="05171F"/>
          <w:sz w:val="28"/>
          <w:szCs w:val="28"/>
          <w:lang w:eastAsia="cs-CZ"/>
        </w:rPr>
      </w:pPr>
      <w:r w:rsidRPr="00586E60">
        <w:rPr>
          <w:rFonts w:ascii="Times New Roman" w:eastAsia="Times New Roman" w:hAnsi="Times New Roman" w:cs="Times New Roman"/>
          <w:color w:val="05171F"/>
          <w:sz w:val="28"/>
          <w:szCs w:val="28"/>
          <w:lang w:eastAsia="cs-CZ"/>
        </w:rPr>
        <w:t>Problém je podle něj také v tom, že se sice průměru EU přibližujeme, ale Evropě obecně ujíždí vlak v ekonomice celosvětové. "Podíl Česka na globální ekonomice bohužel dlouhodobě klesá," dodává ekonom.</w:t>
      </w:r>
    </w:p>
    <w:p w:rsidR="00586E60" w:rsidRPr="00586E60" w:rsidRDefault="00586E60" w:rsidP="00586E60">
      <w:pPr>
        <w:spacing w:line="469" w:lineRule="atLeast"/>
        <w:textAlignment w:val="baseline"/>
        <w:rPr>
          <w:rFonts w:ascii="Times New Roman" w:eastAsia="Times New Roman" w:hAnsi="Times New Roman" w:cs="Times New Roman"/>
          <w:color w:val="05171F"/>
          <w:sz w:val="28"/>
          <w:szCs w:val="28"/>
          <w:lang w:eastAsia="cs-CZ"/>
        </w:rPr>
      </w:pPr>
      <w:r w:rsidRPr="00586E60">
        <w:rPr>
          <w:rFonts w:ascii="Times New Roman" w:eastAsia="Times New Roman" w:hAnsi="Times New Roman" w:cs="Times New Roman"/>
          <w:color w:val="05171F"/>
          <w:sz w:val="28"/>
          <w:szCs w:val="28"/>
          <w:lang w:eastAsia="cs-CZ"/>
        </w:rPr>
        <w:t>Ekonom Komerční banky Michal Brožka pro Aktuálně.</w:t>
      </w:r>
      <w:proofErr w:type="spellStart"/>
      <w:r w:rsidRPr="00586E60">
        <w:rPr>
          <w:rFonts w:ascii="Times New Roman" w:eastAsia="Times New Roman" w:hAnsi="Times New Roman" w:cs="Times New Roman"/>
          <w:color w:val="05171F"/>
          <w:sz w:val="28"/>
          <w:szCs w:val="28"/>
          <w:lang w:eastAsia="cs-CZ"/>
        </w:rPr>
        <w:t>cz</w:t>
      </w:r>
      <w:proofErr w:type="spellEnd"/>
      <w:r w:rsidRPr="00586E60">
        <w:rPr>
          <w:rFonts w:ascii="Times New Roman" w:eastAsia="Times New Roman" w:hAnsi="Times New Roman" w:cs="Times New Roman"/>
          <w:color w:val="05171F"/>
          <w:sz w:val="28"/>
          <w:szCs w:val="28"/>
          <w:lang w:eastAsia="cs-CZ"/>
        </w:rPr>
        <w:t xml:space="preserve"> upozorňuje, že způsobů, jak srovnávat velikosti ekonomik, je hned několik. V tomto případě Česku napomohlo posílení české koruny po skončení intervencí ČNB. "Pokud se HDP v přepočtu na hlavu pohybuje tak blízko jako v případě ČR - Španělsko, může se stát, že o náskok přijdeme i v případě drobných revizí statistických dat. Drobná revize dat může žebříčky opět promíchat. Navíc je velmi problematický přepočet různých cenových hladin," doplňuje Brožka.</w:t>
      </w:r>
    </w:p>
    <w:p w:rsidR="005D3BC4" w:rsidRDefault="005D3BC4"/>
    <w:sectPr w:rsidR="005D3BC4" w:rsidSect="005D3BC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hyphenationZone w:val="425"/>
  <w:characterSpacingControl w:val="doNotCompress"/>
  <w:compat/>
  <w:rsids>
    <w:rsidRoot w:val="00586E60"/>
    <w:rsid w:val="00586E60"/>
    <w:rsid w:val="005D3BC4"/>
    <w:rsid w:val="007311AB"/>
    <w:rsid w:val="00E93A2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D3BC4"/>
  </w:style>
  <w:style w:type="paragraph" w:styleId="Nadpis1">
    <w:name w:val="heading 1"/>
    <w:basedOn w:val="Normln"/>
    <w:link w:val="Nadpis1Char"/>
    <w:uiPriority w:val="9"/>
    <w:qFormat/>
    <w:rsid w:val="00586E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3">
    <w:name w:val="heading 3"/>
    <w:basedOn w:val="Normln"/>
    <w:link w:val="Nadpis3Char"/>
    <w:uiPriority w:val="9"/>
    <w:qFormat/>
    <w:rsid w:val="00586E60"/>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86E60"/>
    <w:rPr>
      <w:rFonts w:ascii="Times New Roman" w:eastAsia="Times New Roman" w:hAnsi="Times New Roman" w:cs="Times New Roman"/>
      <w:b/>
      <w:bCs/>
      <w:kern w:val="36"/>
      <w:sz w:val="48"/>
      <w:szCs w:val="48"/>
      <w:lang w:eastAsia="cs-CZ"/>
    </w:rPr>
  </w:style>
  <w:style w:type="character" w:customStyle="1" w:styleId="Nadpis3Char">
    <w:name w:val="Nadpis 3 Char"/>
    <w:basedOn w:val="Standardnpsmoodstavce"/>
    <w:link w:val="Nadpis3"/>
    <w:uiPriority w:val="9"/>
    <w:rsid w:val="00586E60"/>
    <w:rPr>
      <w:rFonts w:ascii="Times New Roman" w:eastAsia="Times New Roman" w:hAnsi="Times New Roman" w:cs="Times New Roman"/>
      <w:b/>
      <w:bCs/>
      <w:sz w:val="27"/>
      <w:szCs w:val="27"/>
      <w:lang w:eastAsia="cs-CZ"/>
    </w:rPr>
  </w:style>
  <w:style w:type="character" w:styleId="Hypertextovodkaz">
    <w:name w:val="Hyperlink"/>
    <w:basedOn w:val="Standardnpsmoodstavce"/>
    <w:uiPriority w:val="99"/>
    <w:semiHidden/>
    <w:unhideWhenUsed/>
    <w:rsid w:val="00586E60"/>
    <w:rPr>
      <w:color w:val="0000FF"/>
      <w:u w:val="single"/>
    </w:rPr>
  </w:style>
  <w:style w:type="paragraph" w:styleId="Normlnweb">
    <w:name w:val="Normal (Web)"/>
    <w:basedOn w:val="Normln"/>
    <w:uiPriority w:val="99"/>
    <w:semiHidden/>
    <w:unhideWhenUsed/>
    <w:rsid w:val="00586E6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box-labelicon">
    <w:name w:val="box-label__icon"/>
    <w:basedOn w:val="Standardnpsmoodstavce"/>
    <w:rsid w:val="00586E60"/>
  </w:style>
  <w:style w:type="character" w:styleId="Siln">
    <w:name w:val="Strong"/>
    <w:basedOn w:val="Standardnpsmoodstavce"/>
    <w:uiPriority w:val="22"/>
    <w:qFormat/>
    <w:rsid w:val="00586E60"/>
    <w:rPr>
      <w:b/>
      <w:bCs/>
    </w:rPr>
  </w:style>
  <w:style w:type="paragraph" w:styleId="Textbubliny">
    <w:name w:val="Balloon Text"/>
    <w:basedOn w:val="Normln"/>
    <w:link w:val="TextbublinyChar"/>
    <w:uiPriority w:val="99"/>
    <w:semiHidden/>
    <w:unhideWhenUsed/>
    <w:rsid w:val="00586E6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86E6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45856429">
      <w:bodyDiv w:val="1"/>
      <w:marLeft w:val="0"/>
      <w:marRight w:val="0"/>
      <w:marTop w:val="0"/>
      <w:marBottom w:val="0"/>
      <w:divBdr>
        <w:top w:val="none" w:sz="0" w:space="0" w:color="auto"/>
        <w:left w:val="none" w:sz="0" w:space="0" w:color="auto"/>
        <w:bottom w:val="none" w:sz="0" w:space="0" w:color="auto"/>
        <w:right w:val="none" w:sz="0" w:space="0" w:color="auto"/>
      </w:divBdr>
      <w:divsChild>
        <w:div w:id="1772434384">
          <w:marLeft w:val="0"/>
          <w:marRight w:val="0"/>
          <w:marTop w:val="0"/>
          <w:marBottom w:val="0"/>
          <w:divBdr>
            <w:top w:val="none" w:sz="0" w:space="0" w:color="auto"/>
            <w:left w:val="none" w:sz="0" w:space="0" w:color="auto"/>
            <w:bottom w:val="none" w:sz="0" w:space="0" w:color="auto"/>
            <w:right w:val="none" w:sz="0" w:space="0" w:color="auto"/>
          </w:divBdr>
          <w:divsChild>
            <w:div w:id="547497909">
              <w:marLeft w:val="0"/>
              <w:marRight w:val="0"/>
              <w:marTop w:val="0"/>
              <w:marBottom w:val="0"/>
              <w:divBdr>
                <w:top w:val="none" w:sz="0" w:space="0" w:color="auto"/>
                <w:left w:val="none" w:sz="0" w:space="0" w:color="auto"/>
                <w:bottom w:val="none" w:sz="0" w:space="0" w:color="auto"/>
                <w:right w:val="none" w:sz="0" w:space="0" w:color="auto"/>
              </w:divBdr>
            </w:div>
          </w:divsChild>
        </w:div>
        <w:div w:id="1995137723">
          <w:marLeft w:val="0"/>
          <w:marRight w:val="0"/>
          <w:marTop w:val="0"/>
          <w:marBottom w:val="0"/>
          <w:divBdr>
            <w:top w:val="none" w:sz="0" w:space="0" w:color="auto"/>
            <w:left w:val="none" w:sz="0" w:space="0" w:color="auto"/>
            <w:bottom w:val="none" w:sz="0" w:space="0" w:color="auto"/>
            <w:right w:val="none" w:sz="0" w:space="0" w:color="auto"/>
          </w:divBdr>
          <w:divsChild>
            <w:div w:id="1213613034">
              <w:marLeft w:val="388"/>
              <w:marRight w:val="0"/>
              <w:marTop w:val="0"/>
              <w:marBottom w:val="647"/>
              <w:divBdr>
                <w:top w:val="none" w:sz="0" w:space="0" w:color="auto"/>
                <w:left w:val="none" w:sz="0" w:space="0" w:color="auto"/>
                <w:bottom w:val="none" w:sz="0" w:space="0" w:color="auto"/>
                <w:right w:val="none" w:sz="0" w:space="0" w:color="auto"/>
              </w:divBdr>
              <w:divsChild>
                <w:div w:id="2038044799">
                  <w:marLeft w:val="0"/>
                  <w:marRight w:val="0"/>
                  <w:marTop w:val="0"/>
                  <w:marBottom w:val="0"/>
                  <w:divBdr>
                    <w:top w:val="none" w:sz="0" w:space="0" w:color="auto"/>
                    <w:left w:val="none" w:sz="0" w:space="0" w:color="auto"/>
                    <w:bottom w:val="none" w:sz="0" w:space="0" w:color="auto"/>
                    <w:right w:val="none" w:sz="0" w:space="0" w:color="auto"/>
                  </w:divBdr>
                  <w:divsChild>
                    <w:div w:id="1184899287">
                      <w:marLeft w:val="0"/>
                      <w:marRight w:val="0"/>
                      <w:marTop w:val="0"/>
                      <w:marBottom w:val="259"/>
                      <w:divBdr>
                        <w:top w:val="none" w:sz="0" w:space="0" w:color="auto"/>
                        <w:left w:val="none" w:sz="0" w:space="0" w:color="auto"/>
                        <w:bottom w:val="none" w:sz="0" w:space="0" w:color="auto"/>
                        <w:right w:val="none" w:sz="0" w:space="0" w:color="auto"/>
                      </w:divBdr>
                      <w:divsChild>
                        <w:div w:id="1452089782">
                          <w:marLeft w:val="0"/>
                          <w:marRight w:val="0"/>
                          <w:marTop w:val="0"/>
                          <w:marBottom w:val="0"/>
                          <w:divBdr>
                            <w:top w:val="none" w:sz="0" w:space="0" w:color="auto"/>
                            <w:left w:val="none" w:sz="0" w:space="0" w:color="auto"/>
                            <w:bottom w:val="none" w:sz="0" w:space="0" w:color="auto"/>
                            <w:right w:val="none" w:sz="0" w:space="0" w:color="auto"/>
                          </w:divBdr>
                        </w:div>
                      </w:divsChild>
                    </w:div>
                    <w:div w:id="2078047232">
                      <w:marLeft w:val="0"/>
                      <w:marRight w:val="0"/>
                      <w:marTop w:val="0"/>
                      <w:marBottom w:val="388"/>
                      <w:divBdr>
                        <w:top w:val="none" w:sz="0" w:space="0" w:color="auto"/>
                        <w:left w:val="none" w:sz="0" w:space="0" w:color="auto"/>
                        <w:bottom w:val="none" w:sz="0" w:space="0" w:color="auto"/>
                        <w:right w:val="none" w:sz="0" w:space="0" w:color="auto"/>
                      </w:divBdr>
                    </w:div>
                    <w:div w:id="2093623959">
                      <w:marLeft w:val="-971"/>
                      <w:marRight w:val="-971"/>
                      <w:marTop w:val="0"/>
                      <w:marBottom w:val="388"/>
                      <w:divBdr>
                        <w:top w:val="none" w:sz="0" w:space="0" w:color="auto"/>
                        <w:left w:val="none" w:sz="0" w:space="0" w:color="auto"/>
                        <w:bottom w:val="none" w:sz="0" w:space="0" w:color="auto"/>
                        <w:right w:val="none" w:sz="0" w:space="0" w:color="auto"/>
                      </w:divBdr>
                      <w:divsChild>
                        <w:div w:id="1047415080">
                          <w:marLeft w:val="0"/>
                          <w:marRight w:val="0"/>
                          <w:marTop w:val="0"/>
                          <w:marBottom w:val="0"/>
                          <w:divBdr>
                            <w:top w:val="none" w:sz="0" w:space="0" w:color="auto"/>
                            <w:left w:val="none" w:sz="0" w:space="0" w:color="auto"/>
                            <w:bottom w:val="none" w:sz="0" w:space="0" w:color="auto"/>
                            <w:right w:val="none" w:sz="0" w:space="0" w:color="auto"/>
                          </w:divBdr>
                        </w:div>
                        <w:div w:id="702945635">
                          <w:marLeft w:val="0"/>
                          <w:marRight w:val="0"/>
                          <w:marTop w:val="65"/>
                          <w:marBottom w:val="0"/>
                          <w:divBdr>
                            <w:top w:val="none" w:sz="0" w:space="0" w:color="auto"/>
                            <w:left w:val="none" w:sz="0" w:space="0" w:color="auto"/>
                            <w:bottom w:val="none" w:sz="0" w:space="0" w:color="auto"/>
                            <w:right w:val="none" w:sz="0" w:space="0" w:color="auto"/>
                          </w:divBdr>
                        </w:div>
                      </w:divsChild>
                    </w:div>
                    <w:div w:id="738668911">
                      <w:marLeft w:val="0"/>
                      <w:marRight w:val="0"/>
                      <w:marTop w:val="0"/>
                      <w:marBottom w:val="0"/>
                      <w:divBdr>
                        <w:top w:val="none" w:sz="0" w:space="0" w:color="auto"/>
                        <w:left w:val="none" w:sz="0" w:space="0" w:color="auto"/>
                        <w:bottom w:val="none" w:sz="0" w:space="0" w:color="auto"/>
                        <w:right w:val="none" w:sz="0" w:space="0" w:color="auto"/>
                      </w:divBdr>
                      <w:divsChild>
                        <w:div w:id="63384263">
                          <w:marLeft w:val="-971"/>
                          <w:marRight w:val="259"/>
                          <w:marTop w:val="0"/>
                          <w:marBottom w:val="259"/>
                          <w:divBdr>
                            <w:top w:val="none" w:sz="0" w:space="0" w:color="auto"/>
                            <w:left w:val="none" w:sz="0" w:space="0" w:color="auto"/>
                            <w:bottom w:val="none" w:sz="0" w:space="0" w:color="auto"/>
                            <w:right w:val="none" w:sz="0" w:space="0" w:color="auto"/>
                          </w:divBdr>
                          <w:divsChild>
                            <w:div w:id="120810852">
                              <w:marLeft w:val="0"/>
                              <w:marRight w:val="0"/>
                              <w:marTop w:val="0"/>
                              <w:marBottom w:val="259"/>
                              <w:divBdr>
                                <w:top w:val="none" w:sz="0" w:space="0" w:color="auto"/>
                                <w:left w:val="none" w:sz="0" w:space="0" w:color="auto"/>
                                <w:bottom w:val="dashed" w:sz="6" w:space="0" w:color="A2ABAF"/>
                                <w:right w:val="none" w:sz="0" w:space="0" w:color="auto"/>
                              </w:divBdr>
                            </w:div>
                            <w:div w:id="1244606597">
                              <w:marLeft w:val="0"/>
                              <w:marRight w:val="0"/>
                              <w:marTop w:val="0"/>
                              <w:marBottom w:val="388"/>
                              <w:divBdr>
                                <w:top w:val="none" w:sz="0" w:space="0" w:color="auto"/>
                                <w:left w:val="none" w:sz="0" w:space="0" w:color="auto"/>
                                <w:bottom w:val="none" w:sz="0" w:space="0" w:color="auto"/>
                                <w:right w:val="none" w:sz="0" w:space="0" w:color="auto"/>
                              </w:divBdr>
                              <w:divsChild>
                                <w:div w:id="1918634790">
                                  <w:marLeft w:val="0"/>
                                  <w:marRight w:val="0"/>
                                  <w:marTop w:val="0"/>
                                  <w:marBottom w:val="129"/>
                                  <w:divBdr>
                                    <w:top w:val="none" w:sz="0" w:space="0" w:color="auto"/>
                                    <w:left w:val="none" w:sz="0" w:space="0" w:color="auto"/>
                                    <w:bottom w:val="none" w:sz="0" w:space="0" w:color="auto"/>
                                    <w:right w:val="none" w:sz="0" w:space="0" w:color="auto"/>
                                  </w:divBdr>
                                  <w:divsChild>
                                    <w:div w:id="91058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579378">
                          <w:marLeft w:val="809"/>
                          <w:marRight w:val="0"/>
                          <w:marTop w:val="647"/>
                          <w:marBottom w:val="647"/>
                          <w:divBdr>
                            <w:top w:val="none" w:sz="0" w:space="0" w:color="auto"/>
                            <w:left w:val="none" w:sz="0" w:space="0" w:color="auto"/>
                            <w:bottom w:val="none" w:sz="0" w:space="0" w:color="auto"/>
                            <w:right w:val="none" w:sz="0" w:space="0" w:color="auto"/>
                          </w:divBdr>
                          <w:divsChild>
                            <w:div w:id="540896414">
                              <w:marLeft w:val="0"/>
                              <w:marRight w:val="0"/>
                              <w:marTop w:val="0"/>
                              <w:marBottom w:val="259"/>
                              <w:divBdr>
                                <w:top w:val="none" w:sz="0" w:space="0" w:color="auto"/>
                                <w:left w:val="none" w:sz="0" w:space="0" w:color="auto"/>
                                <w:bottom w:val="dashed" w:sz="6" w:space="0" w:color="A2ABAF"/>
                                <w:right w:val="none" w:sz="0" w:space="0" w:color="auto"/>
                              </w:divBdr>
                            </w:div>
                            <w:div w:id="2118064543">
                              <w:marLeft w:val="0"/>
                              <w:marRight w:val="0"/>
                              <w:marTop w:val="0"/>
                              <w:marBottom w:val="388"/>
                              <w:divBdr>
                                <w:top w:val="none" w:sz="0" w:space="0" w:color="auto"/>
                                <w:left w:val="none" w:sz="0" w:space="0" w:color="auto"/>
                                <w:bottom w:val="none" w:sz="0" w:space="0" w:color="auto"/>
                                <w:right w:val="none" w:sz="0" w:space="0" w:color="auto"/>
                              </w:divBdr>
                              <w:divsChild>
                                <w:div w:id="51453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049721">
                          <w:marLeft w:val="0"/>
                          <w:marRight w:val="0"/>
                          <w:marTop w:val="0"/>
                          <w:marBottom w:val="0"/>
                          <w:divBdr>
                            <w:top w:val="none" w:sz="0" w:space="0" w:color="auto"/>
                            <w:left w:val="none" w:sz="0" w:space="0" w:color="auto"/>
                            <w:bottom w:val="none" w:sz="0" w:space="0" w:color="auto"/>
                            <w:right w:val="none" w:sz="0" w:space="0" w:color="auto"/>
                          </w:divBdr>
                        </w:div>
                        <w:div w:id="401945945">
                          <w:marLeft w:val="-971"/>
                          <w:marRight w:val="259"/>
                          <w:marTop w:val="0"/>
                          <w:marBottom w:val="259"/>
                          <w:divBdr>
                            <w:top w:val="none" w:sz="0" w:space="0" w:color="auto"/>
                            <w:left w:val="none" w:sz="0" w:space="0" w:color="auto"/>
                            <w:bottom w:val="none" w:sz="0" w:space="0" w:color="auto"/>
                            <w:right w:val="none" w:sz="0" w:space="0" w:color="auto"/>
                          </w:divBdr>
                          <w:divsChild>
                            <w:div w:id="421026125">
                              <w:marLeft w:val="0"/>
                              <w:marRight w:val="0"/>
                              <w:marTop w:val="0"/>
                              <w:marBottom w:val="259"/>
                              <w:divBdr>
                                <w:top w:val="none" w:sz="0" w:space="0" w:color="auto"/>
                                <w:left w:val="none" w:sz="0" w:space="0" w:color="auto"/>
                                <w:bottom w:val="dashed" w:sz="6" w:space="0" w:color="A2ABAF"/>
                                <w:right w:val="none" w:sz="0" w:space="0" w:color="auto"/>
                              </w:divBdr>
                            </w:div>
                            <w:div w:id="906957856">
                              <w:marLeft w:val="0"/>
                              <w:marRight w:val="0"/>
                              <w:marTop w:val="0"/>
                              <w:marBottom w:val="388"/>
                              <w:divBdr>
                                <w:top w:val="none" w:sz="0" w:space="0" w:color="auto"/>
                                <w:left w:val="none" w:sz="0" w:space="0" w:color="auto"/>
                                <w:bottom w:val="none" w:sz="0" w:space="0" w:color="auto"/>
                                <w:right w:val="none" w:sz="0" w:space="0" w:color="auto"/>
                              </w:divBdr>
                              <w:divsChild>
                                <w:div w:id="2056350929">
                                  <w:marLeft w:val="0"/>
                                  <w:marRight w:val="0"/>
                                  <w:marTop w:val="0"/>
                                  <w:marBottom w:val="129"/>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tats.oecd.org/index.aspx?queryid=6070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ktualne.cz/autori/pavla-adamcova/l~i:author:88/" TargetMode="External"/><Relationship Id="rId5" Type="http://schemas.openxmlformats.org/officeDocument/2006/relationships/image" Target="media/image1.jpeg"/><Relationship Id="rId4" Type="http://schemas.openxmlformats.org/officeDocument/2006/relationships/hyperlink" Target="https://www.aktualne.cz/autori/pavla-adamcova/l~i:author:88/" TargetMode="Externa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678</Words>
  <Characters>4005</Characters>
  <Application>Microsoft Office Word</Application>
  <DocSecurity>0</DocSecurity>
  <Lines>33</Lines>
  <Paragraphs>9</Paragraphs>
  <ScaleCrop>false</ScaleCrop>
  <Company/>
  <LinksUpToDate>false</LinksUpToDate>
  <CharactersWithSpaces>4674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Luděk</dc:creator>
  <cp:lastModifiedBy>Luděk</cp:lastModifiedBy>
  <cp:revision>2</cp:revision>
  <dcterms:created xsi:type="dcterms:W3CDTF">2019-10-14T20:32:00Z</dcterms:created>
  <dcterms:modified xsi:type="dcterms:W3CDTF">2020-06-05T07:54:00Z</dcterms:modified>
</cp:coreProperties>
</file>